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6B" w:rsidRPr="008D516B" w:rsidRDefault="008D516B" w:rsidP="008D516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/>
        </w:rPr>
      </w:pPr>
      <w:bookmarkStart w:id="0" w:name="_Toc401934482"/>
      <w:r w:rsidRPr="008D516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/>
        </w:rPr>
        <w:t xml:space="preserve">Appendix 2: </w:t>
      </w:r>
      <w:bookmarkStart w:id="1" w:name="_GoBack"/>
      <w:r w:rsidRPr="008D516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/>
        </w:rPr>
        <w:t>Fracture Liaison Service Status Summary</w:t>
      </w:r>
      <w:bookmarkEnd w:id="0"/>
      <w:bookmarkEnd w:id="1"/>
    </w:p>
    <w:p w:rsidR="008D516B" w:rsidRPr="008D516B" w:rsidRDefault="008D516B" w:rsidP="008D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8D516B" w:rsidRPr="008D516B" w:rsidRDefault="008D516B" w:rsidP="008D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Fracture Liaison Service (FLS) details:</w:t>
      </w:r>
    </w:p>
    <w:p w:rsidR="008D516B" w:rsidRPr="008D516B" w:rsidRDefault="008D516B" w:rsidP="008D51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Hospital:</w:t>
      </w:r>
    </w:p>
    <w:p w:rsidR="008D516B" w:rsidRPr="008D516B" w:rsidRDefault="008D516B" w:rsidP="008D51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Size of population served by hospital:</w:t>
      </w:r>
    </w:p>
    <w:p w:rsidR="008D516B" w:rsidRPr="008D516B" w:rsidRDefault="008D516B" w:rsidP="008D51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Lead Clinician:</w:t>
      </w:r>
    </w:p>
    <w:p w:rsidR="008D516B" w:rsidRPr="008D516B" w:rsidRDefault="008D516B" w:rsidP="008D51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What is the source and duration of funding for post-fracture coordinator role?</w:t>
      </w:r>
    </w:p>
    <w:p w:rsidR="008D516B" w:rsidRPr="008D516B" w:rsidRDefault="008D516B" w:rsidP="008D51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8D516B" w:rsidRPr="008D516B" w:rsidRDefault="008D516B" w:rsidP="008D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When was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established, or terminated if no longer operational?</w:t>
      </w:r>
    </w:p>
    <w:p w:rsidR="008D516B" w:rsidRPr="008D516B" w:rsidRDefault="008D516B" w:rsidP="008D516B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val="en-GB"/>
        </w:rPr>
      </w:pPr>
    </w:p>
    <w:p w:rsidR="008D516B" w:rsidRPr="008D516B" w:rsidRDefault="008D516B" w:rsidP="008D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Was a baseline audit of adherence to national secondary fracture prevention guidance conducted?</w:t>
      </w:r>
    </w:p>
    <w:p w:rsidR="008D516B" w:rsidRPr="008D516B" w:rsidRDefault="008D516B" w:rsidP="008D51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If so, what proportion of fragility fracture patients were assessed in accordance with national guidance?</w:t>
      </w:r>
    </w:p>
    <w:p w:rsidR="008D516B" w:rsidRPr="008D516B" w:rsidRDefault="008D516B" w:rsidP="008D51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8D516B" w:rsidRPr="008D516B" w:rsidRDefault="008D516B" w:rsidP="008D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What is the scope of current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activities:</w:t>
      </w:r>
    </w:p>
    <w:p w:rsidR="008D516B" w:rsidRPr="008D516B" w:rsidRDefault="008D516B" w:rsidP="008D5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Does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serve in-patients only, out-patients only or both?</w:t>
      </w:r>
    </w:p>
    <w:p w:rsidR="008D516B" w:rsidRPr="008D516B" w:rsidRDefault="008D516B" w:rsidP="008D5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Approximately how many fragility fracture patients are assessed by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annually?</w:t>
      </w:r>
    </w:p>
    <w:p w:rsidR="008D516B" w:rsidRPr="008D516B" w:rsidRDefault="008D516B" w:rsidP="008D5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What proportion of fracture patients aged over 50 years are assessed by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>?</w:t>
      </w:r>
    </w:p>
    <w:p w:rsidR="008D516B" w:rsidRPr="008D516B" w:rsidRDefault="008D516B" w:rsidP="008D5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Does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receive referrals from the radiology department for patients with suspected vertebral fractures?</w:t>
      </w:r>
    </w:p>
    <w:p w:rsidR="008D516B" w:rsidRPr="008D516B" w:rsidRDefault="008D516B" w:rsidP="008D51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8D516B" w:rsidRPr="008D516B" w:rsidRDefault="008D516B" w:rsidP="008D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Is a hospital/locality-wide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protocol in place?</w:t>
      </w:r>
    </w:p>
    <w:p w:rsidR="008D516B" w:rsidRPr="008D516B" w:rsidRDefault="008D516B" w:rsidP="008D5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If so, was this protocol developed in collaboration with local primary care organisations?</w:t>
      </w:r>
    </w:p>
    <w:p w:rsidR="008D516B" w:rsidRPr="008D516B" w:rsidRDefault="008D516B" w:rsidP="008D5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Has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been subject to local audit?</w:t>
      </w:r>
    </w:p>
    <w:p w:rsidR="008D516B" w:rsidRPr="008D516B" w:rsidRDefault="008D516B" w:rsidP="008D516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If so, what proportion of fragility fracture patients received post-fracture assessment according to national guidance?</w:t>
      </w:r>
    </w:p>
    <w:p w:rsidR="008D516B" w:rsidRPr="008D516B" w:rsidRDefault="008D516B" w:rsidP="008D516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If so, what proportion of fragility fracture patients were recommended initiation of treatment according to national guidance?</w:t>
      </w:r>
    </w:p>
    <w:p w:rsidR="008D516B" w:rsidRPr="008D516B" w:rsidRDefault="008D516B" w:rsidP="008D5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Does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have capacity to conduct follow-up of fragility fracture patient management?</w:t>
      </w:r>
    </w:p>
    <w:p w:rsidR="008D516B" w:rsidRPr="008D516B" w:rsidRDefault="008D516B" w:rsidP="008D516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If so, does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protocol specify the frequency for follow-up?</w:t>
      </w:r>
    </w:p>
    <w:p w:rsidR="008D516B" w:rsidRPr="008D516B" w:rsidRDefault="008D516B" w:rsidP="008D516B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If so, what proportion of fragility fracture patients persist with management according to national guidance at 6 months, 1 year and/or 3 years?</w:t>
      </w:r>
    </w:p>
    <w:p w:rsidR="008D516B" w:rsidRPr="008D516B" w:rsidRDefault="008D516B" w:rsidP="008D51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>Does the hospital have a separate general osteoporosis assessment and management protocol in place?</w:t>
      </w:r>
    </w:p>
    <w:p w:rsidR="008D516B" w:rsidRPr="008D516B" w:rsidRDefault="008D516B" w:rsidP="008D51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8D516B" w:rsidRPr="008D516B" w:rsidRDefault="008D516B" w:rsidP="008D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Have any abstracts or publications been produced by the </w:t>
      </w:r>
      <w:smartTag w:uri="urn:schemas-microsoft-com:office:smarttags" w:element="stockticker">
        <w:r w:rsidRPr="008D516B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8D516B">
        <w:rPr>
          <w:rFonts w:ascii="Times New Roman" w:eastAsia="Times New Roman" w:hAnsi="Times New Roman" w:cs="Times New Roman"/>
          <w:szCs w:val="24"/>
          <w:lang w:val="en-GB"/>
        </w:rPr>
        <w:t xml:space="preserve"> team?</w:t>
      </w:r>
    </w:p>
    <w:p w:rsidR="004C3CB6" w:rsidRDefault="004C3CB6" w:rsidP="008D516B"/>
    <w:sectPr w:rsidR="004C3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409"/>
    <w:multiLevelType w:val="hybridMultilevel"/>
    <w:tmpl w:val="B94A03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464F5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A1C8F"/>
    <w:multiLevelType w:val="hybridMultilevel"/>
    <w:tmpl w:val="88C0D1D0"/>
    <w:lvl w:ilvl="0" w:tplc="D7B6FC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514A5"/>
    <w:multiLevelType w:val="hybridMultilevel"/>
    <w:tmpl w:val="2D06B31E"/>
    <w:lvl w:ilvl="0" w:tplc="D7B6FC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191EA5"/>
    <w:multiLevelType w:val="hybridMultilevel"/>
    <w:tmpl w:val="881C1034"/>
    <w:lvl w:ilvl="0" w:tplc="D7B6FC6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0571"/>
    <w:multiLevelType w:val="hybridMultilevel"/>
    <w:tmpl w:val="BB3C816A"/>
    <w:lvl w:ilvl="0" w:tplc="D7B6FC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AFEAC8C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EA4551"/>
    <w:multiLevelType w:val="hybridMultilevel"/>
    <w:tmpl w:val="CE92712C"/>
    <w:lvl w:ilvl="0" w:tplc="D7B6FC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AFEAC8C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6B"/>
    <w:rsid w:val="004C3CB6"/>
    <w:rsid w:val="008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6FC4D-E586-440C-8D11-CDC78BF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Mitchell</dc:creator>
  <cp:keywords/>
  <dc:description/>
  <cp:lastModifiedBy>Paul Mitchell</cp:lastModifiedBy>
  <cp:revision>1</cp:revision>
  <dcterms:created xsi:type="dcterms:W3CDTF">2014-10-24T04:19:00Z</dcterms:created>
  <dcterms:modified xsi:type="dcterms:W3CDTF">2014-10-24T04:21:00Z</dcterms:modified>
</cp:coreProperties>
</file>